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3"/>
        <w:rPr>
          <w:sz w:val="23"/>
        </w:rPr>
      </w:pPr>
      <w:bookmarkStart w:id="0" w:name="_GoBack"/>
      <w:bookmarkEnd w:id="0"/>
    </w:p>
    <w:p>
      <w:pPr>
        <w:pStyle w:val="2"/>
        <w:spacing w:before="90"/>
        <w:ind w:left="2267" w:right="2283"/>
        <w:rPr>
          <w:u w:val="none"/>
        </w:rPr>
      </w:pPr>
      <w:r>
        <w:rPr>
          <w:u w:val="none"/>
        </w:rPr>
        <w:t>CBEC-20/10/05/2020 -GST</w:t>
      </w:r>
    </w:p>
    <w:p>
      <w:pPr>
        <w:ind w:left="3393" w:right="3412" w:firstLine="1"/>
        <w:jc w:val="center"/>
        <w:rPr>
          <w:b/>
          <w:sz w:val="24"/>
        </w:rPr>
      </w:pPr>
      <w:r>
        <w:rPr>
          <w:b/>
          <w:sz w:val="24"/>
        </w:rPr>
        <w:t>Government of India Ministry of Finance Department of Revenue</w:t>
      </w:r>
    </w:p>
    <w:p>
      <w:pPr>
        <w:spacing w:before="1"/>
        <w:ind w:left="2267" w:right="2289"/>
        <w:jc w:val="center"/>
        <w:rPr>
          <w:b/>
          <w:sz w:val="24"/>
        </w:rPr>
      </w:pPr>
      <w:r>
        <w:rPr>
          <w:b/>
          <w:sz w:val="24"/>
        </w:rPr>
        <w:t>Central Board of Indirect Taxes and Customs GST Policy Wing</w:t>
      </w:r>
    </w:p>
    <w:p>
      <w:pPr>
        <w:pStyle w:val="4"/>
        <w:spacing w:before="3"/>
        <w:rPr>
          <w:b/>
          <w:sz w:val="12"/>
        </w:rPr>
      </w:pPr>
    </w:p>
    <w:p>
      <w:pPr>
        <w:pStyle w:val="4"/>
        <w:spacing w:before="130"/>
        <w:ind w:left="5563"/>
      </w:pPr>
      <w:r>
        <w:t>New Delhi, dated the 10</w:t>
      </w:r>
      <w:r>
        <w:rPr>
          <w:vertAlign w:val="superscript"/>
        </w:rPr>
        <w:t>th</w:t>
      </w:r>
      <w:r>
        <w:t xml:space="preserve"> June, 2020</w:t>
      </w:r>
    </w:p>
    <w:p>
      <w:pPr>
        <w:pStyle w:val="4"/>
        <w:spacing w:before="2"/>
        <w:rPr>
          <w:sz w:val="16"/>
        </w:rPr>
      </w:pPr>
    </w:p>
    <w:p>
      <w:pPr>
        <w:pStyle w:val="4"/>
        <w:spacing w:before="90"/>
        <w:ind w:left="100"/>
      </w:pPr>
      <w:r>
        <w:t>To</w:t>
      </w:r>
    </w:p>
    <w:p>
      <w:pPr>
        <w:pStyle w:val="4"/>
      </w:pPr>
    </w:p>
    <w:p>
      <w:pPr>
        <w:pStyle w:val="4"/>
        <w:ind w:left="100"/>
      </w:pPr>
      <w:r>
        <w:t>The Principal Chief Commissioners / Chief Commissioners / Principal Commissioners / Commissioners of Central Tax (All)</w:t>
      </w:r>
    </w:p>
    <w:p>
      <w:pPr>
        <w:pStyle w:val="4"/>
      </w:pPr>
    </w:p>
    <w:p>
      <w:pPr>
        <w:pStyle w:val="4"/>
        <w:spacing w:before="1" w:line="480" w:lineRule="auto"/>
        <w:ind w:left="100" w:right="3632"/>
      </w:pPr>
      <w:r>
        <w:t>The Principal Director Generals / Director Generals (All) Madam/Sir,</w:t>
      </w:r>
    </w:p>
    <w:p>
      <w:pPr>
        <w:pStyle w:val="2"/>
        <w:spacing w:before="4"/>
        <w:jc w:val="left"/>
        <w:rPr>
          <w:u w:val="none"/>
        </w:rPr>
      </w:pPr>
      <w:r>
        <w:rPr>
          <w:u w:val="none"/>
        </w:rPr>
        <w:t>Subject: Clarification in respect of levy of GST on Director’s remuneration - Reg.</w:t>
      </w:r>
    </w:p>
    <w:p>
      <w:pPr>
        <w:pStyle w:val="4"/>
        <w:spacing w:before="9"/>
        <w:rPr>
          <w:b/>
          <w:sz w:val="23"/>
        </w:rPr>
      </w:pPr>
    </w:p>
    <w:p>
      <w:pPr>
        <w:pStyle w:val="4"/>
        <w:spacing w:before="1" w:line="360" w:lineRule="auto"/>
        <w:ind w:left="100" w:right="115" w:firstLine="719"/>
        <w:jc w:val="both"/>
      </w:pPr>
      <w:r>
        <w:t>Various references have been received from trade and industry seeking clarification whether the GST is leviable on Director’s remuneration paid by companies to their directors. Doubts have been raised as to whether the remuneration paid by companies to their directors falls under the ambit of entry in Schedule III of the Central Goods and Services Tax Act, 2017 (hereinafter referred to as the CGST Act) i.e.</w:t>
      </w:r>
      <w:r>
        <w:rPr>
          <w:u w:val="single"/>
        </w:rPr>
        <w:t xml:space="preserve"> “services by an employee to the employer</w:t>
      </w:r>
      <w:r>
        <w:t xml:space="preserve"> </w:t>
      </w:r>
      <w:r>
        <w:rPr>
          <w:u w:val="single"/>
        </w:rPr>
        <w:t xml:space="preserve">in the course of or </w:t>
      </w:r>
      <w:r>
        <w:rPr>
          <w:i/>
          <w:u w:val="single"/>
        </w:rPr>
        <w:t xml:space="preserve">in relation to </w:t>
      </w:r>
      <w:r>
        <w:rPr>
          <w:u w:val="single"/>
        </w:rPr>
        <w:t>his employment”</w:t>
      </w:r>
      <w:r>
        <w:t xml:space="preserve"> or whether the same are liable to be taxed in terms of notification No. 13/2017 – Central Tax (Rate) dated 28.06.2017 (entry</w:t>
      </w:r>
      <w:r>
        <w:rPr>
          <w:spacing w:val="-7"/>
        </w:rPr>
        <w:t xml:space="preserve"> </w:t>
      </w:r>
      <w:r>
        <w:t>no.6).</w:t>
      </w:r>
    </w:p>
    <w:p>
      <w:pPr>
        <w:pStyle w:val="4"/>
        <w:rPr>
          <w:sz w:val="36"/>
        </w:rPr>
      </w:pPr>
    </w:p>
    <w:p>
      <w:pPr>
        <w:pStyle w:val="14"/>
        <w:widowControl w:val="0"/>
        <w:numPr>
          <w:ilvl w:val="0"/>
          <w:numId w:val="1"/>
        </w:numPr>
        <w:tabs>
          <w:tab w:val="left" w:pos="821"/>
        </w:tabs>
        <w:autoSpaceDE w:val="0"/>
        <w:autoSpaceDN w:val="0"/>
        <w:spacing w:after="0" w:line="360" w:lineRule="auto"/>
        <w:ind w:right="118" w:firstLine="0"/>
        <w:contextualSpacing w:val="0"/>
        <w:jc w:val="both"/>
        <w:rPr>
          <w:sz w:val="24"/>
        </w:rPr>
      </w:pPr>
      <w:r>
        <w:rPr>
          <w:sz w:val="24"/>
        </w:rPr>
        <w:t>The issue of remuneration to directors has been examined under following two different</w:t>
      </w:r>
      <w:r>
        <w:rPr>
          <w:spacing w:val="1"/>
          <w:sz w:val="24"/>
        </w:rPr>
        <w:t xml:space="preserve"> </w:t>
      </w:r>
      <w:r>
        <w:rPr>
          <w:sz w:val="24"/>
        </w:rPr>
        <w:t>categories:</w:t>
      </w:r>
    </w:p>
    <w:p>
      <w:pPr>
        <w:pStyle w:val="14"/>
        <w:widowControl w:val="0"/>
        <w:numPr>
          <w:ilvl w:val="1"/>
          <w:numId w:val="1"/>
        </w:numPr>
        <w:tabs>
          <w:tab w:val="left" w:pos="1541"/>
        </w:tabs>
        <w:autoSpaceDE w:val="0"/>
        <w:autoSpaceDN w:val="0"/>
        <w:spacing w:before="1" w:after="0" w:line="360" w:lineRule="auto"/>
        <w:ind w:right="121"/>
        <w:contextualSpacing w:val="0"/>
        <w:jc w:val="both"/>
        <w:rPr>
          <w:sz w:val="24"/>
        </w:rPr>
      </w:pPr>
      <w:r>
        <w:rPr>
          <w:sz w:val="24"/>
        </w:rPr>
        <w:t>leviability of GST on remuneration paid by companies to the independent directors defined in terms of section 149(6) of the Companies Act, 2013 or those directors who are not the employees of the said company;</w:t>
      </w:r>
      <w:r>
        <w:rPr>
          <w:spacing w:val="-6"/>
          <w:sz w:val="24"/>
        </w:rPr>
        <w:t xml:space="preserve"> </w:t>
      </w:r>
      <w:r>
        <w:rPr>
          <w:sz w:val="24"/>
        </w:rPr>
        <w:t>and</w:t>
      </w:r>
    </w:p>
    <w:p>
      <w:pPr>
        <w:pStyle w:val="14"/>
        <w:widowControl w:val="0"/>
        <w:numPr>
          <w:ilvl w:val="1"/>
          <w:numId w:val="1"/>
        </w:numPr>
        <w:tabs>
          <w:tab w:val="left" w:pos="1541"/>
        </w:tabs>
        <w:autoSpaceDE w:val="0"/>
        <w:autoSpaceDN w:val="0"/>
        <w:spacing w:after="0" w:line="360" w:lineRule="auto"/>
        <w:ind w:right="115"/>
        <w:contextualSpacing w:val="0"/>
        <w:jc w:val="both"/>
        <w:rPr>
          <w:sz w:val="24"/>
        </w:rPr>
      </w:pPr>
      <w:r>
        <w:rPr>
          <w:sz w:val="24"/>
        </w:rPr>
        <w:t>leviability of GST on remuneration paid by companies to the whole-time directors including managing director who are employees of the said  company.</w:t>
      </w:r>
    </w:p>
    <w:p>
      <w:pPr>
        <w:pStyle w:val="4"/>
        <w:spacing w:before="10"/>
        <w:rPr>
          <w:sz w:val="35"/>
        </w:rPr>
      </w:pPr>
    </w:p>
    <w:p>
      <w:pPr>
        <w:pStyle w:val="4"/>
        <w:spacing w:before="10"/>
        <w:rPr>
          <w:sz w:val="35"/>
        </w:rPr>
      </w:pPr>
    </w:p>
    <w:p>
      <w:pPr>
        <w:pStyle w:val="14"/>
        <w:widowControl w:val="0"/>
        <w:numPr>
          <w:ilvl w:val="0"/>
          <w:numId w:val="1"/>
        </w:numPr>
        <w:tabs>
          <w:tab w:val="left" w:pos="821"/>
        </w:tabs>
        <w:autoSpaceDE w:val="0"/>
        <w:autoSpaceDN w:val="0"/>
        <w:spacing w:after="0" w:line="360" w:lineRule="auto"/>
        <w:ind w:right="121" w:firstLine="0"/>
        <w:contextualSpacing w:val="0"/>
        <w:jc w:val="both"/>
        <w:rPr>
          <w:sz w:val="24"/>
        </w:rPr>
      </w:pPr>
      <w:r>
        <w:rPr>
          <w:sz w:val="24"/>
        </w:rPr>
        <w:t>In order to ensure uniformity in the implementation of the provisions of the law across the field formations, the Board, in exercise of its powers conferred under section 168(1) of the CGST Act hereby clarifies the issue as</w:t>
      </w:r>
      <w:r>
        <w:rPr>
          <w:spacing w:val="-3"/>
          <w:sz w:val="24"/>
        </w:rPr>
        <w:t xml:space="preserve"> </w:t>
      </w:r>
      <w:r>
        <w:rPr>
          <w:sz w:val="24"/>
        </w:rPr>
        <w:t>below:</w:t>
      </w:r>
    </w:p>
    <w:p>
      <w:pPr>
        <w:pStyle w:val="4"/>
        <w:rPr>
          <w:sz w:val="20"/>
        </w:rPr>
      </w:pPr>
    </w:p>
    <w:p>
      <w:pPr>
        <w:pStyle w:val="4"/>
        <w:spacing w:before="2"/>
        <w:rPr>
          <w:sz w:val="23"/>
        </w:rPr>
      </w:pPr>
    </w:p>
    <w:p>
      <w:pPr>
        <w:pStyle w:val="2"/>
        <w:spacing w:line="360" w:lineRule="auto"/>
        <w:ind w:right="117"/>
        <w:jc w:val="both"/>
        <w:rPr>
          <w:u w:val="none"/>
        </w:rPr>
      </w:pPr>
      <w:r>
        <w:rPr>
          <w:u w:val="thick"/>
        </w:rPr>
        <w:t>Leviability of GST on remuneration paid by companies to the independent directors or</w:t>
      </w:r>
      <w:r>
        <w:rPr>
          <w:u w:val="none"/>
        </w:rPr>
        <w:t xml:space="preserve"> </w:t>
      </w:r>
      <w:r>
        <w:rPr>
          <w:u w:val="thick"/>
        </w:rPr>
        <w:t>those directors who are not the employee of the said company</w:t>
      </w:r>
    </w:p>
    <w:p>
      <w:pPr>
        <w:pStyle w:val="14"/>
        <w:widowControl w:val="0"/>
        <w:numPr>
          <w:ilvl w:val="1"/>
          <w:numId w:val="2"/>
        </w:numPr>
        <w:tabs>
          <w:tab w:val="left" w:pos="821"/>
        </w:tabs>
        <w:autoSpaceDE w:val="0"/>
        <w:autoSpaceDN w:val="0"/>
        <w:spacing w:after="0" w:line="360" w:lineRule="auto"/>
        <w:ind w:right="117" w:firstLine="0"/>
        <w:contextualSpacing w:val="0"/>
        <w:jc w:val="both"/>
        <w:rPr>
          <w:sz w:val="24"/>
        </w:rPr>
      </w:pPr>
      <w:r>
        <w:rPr>
          <w:sz w:val="24"/>
        </w:rPr>
        <w:t>The primary issue to be decided is whether or not a „Director‟ is an employee of the company. In this regard, from the perusal of the relevant provisions of the Companies Act, 2013, it can be inferred</w:t>
      </w:r>
      <w:r>
        <w:rPr>
          <w:spacing w:val="-2"/>
          <w:sz w:val="24"/>
        </w:rPr>
        <w:t xml:space="preserve"> </w:t>
      </w:r>
      <w:r>
        <w:rPr>
          <w:sz w:val="24"/>
        </w:rPr>
        <w:t>that:</w:t>
      </w:r>
    </w:p>
    <w:p>
      <w:pPr>
        <w:pStyle w:val="14"/>
        <w:widowControl w:val="0"/>
        <w:numPr>
          <w:ilvl w:val="2"/>
          <w:numId w:val="2"/>
        </w:numPr>
        <w:tabs>
          <w:tab w:val="left" w:pos="1541"/>
        </w:tabs>
        <w:autoSpaceDE w:val="0"/>
        <w:autoSpaceDN w:val="0"/>
        <w:spacing w:before="157" w:after="0" w:line="360" w:lineRule="auto"/>
        <w:ind w:right="115"/>
        <w:contextualSpacing w:val="0"/>
        <w:jc w:val="both"/>
        <w:rPr>
          <w:sz w:val="24"/>
        </w:rPr>
      </w:pPr>
      <w:r>
        <w:rPr>
          <w:sz w:val="24"/>
        </w:rPr>
        <w:t xml:space="preserve">the definition of a whole time-director under section 2(94) of the Companies Act, 2013 is an inclusive definition, and thus he </w:t>
      </w:r>
      <w:r>
        <w:rPr>
          <w:b/>
          <w:sz w:val="24"/>
        </w:rPr>
        <w:t xml:space="preserve">may be a person who is not an employee </w:t>
      </w:r>
      <w:r>
        <w:rPr>
          <w:sz w:val="24"/>
        </w:rPr>
        <w:t>of the</w:t>
      </w:r>
      <w:r>
        <w:rPr>
          <w:spacing w:val="-2"/>
          <w:sz w:val="24"/>
        </w:rPr>
        <w:t xml:space="preserve"> </w:t>
      </w:r>
      <w:r>
        <w:rPr>
          <w:sz w:val="24"/>
        </w:rPr>
        <w:t>company.</w:t>
      </w:r>
    </w:p>
    <w:p>
      <w:pPr>
        <w:pStyle w:val="14"/>
        <w:widowControl w:val="0"/>
        <w:numPr>
          <w:ilvl w:val="2"/>
          <w:numId w:val="2"/>
        </w:numPr>
        <w:tabs>
          <w:tab w:val="left" w:pos="1541"/>
        </w:tabs>
        <w:autoSpaceDE w:val="0"/>
        <w:autoSpaceDN w:val="0"/>
        <w:spacing w:after="0" w:line="360" w:lineRule="auto"/>
        <w:ind w:right="115"/>
        <w:contextualSpacing w:val="0"/>
        <w:jc w:val="both"/>
        <w:rPr>
          <w:sz w:val="24"/>
        </w:rPr>
      </w:pPr>
      <w:r>
        <w:rPr>
          <w:sz w:val="24"/>
        </w:rPr>
        <w:t xml:space="preserve">the definition of „independent directors‟ under section 149(6) of the Companies Act, 2013, read with Rule 12 of Companies (Share Capital and Debentures) Rules, 2014 makes it amply clear that </w:t>
      </w:r>
      <w:r>
        <w:rPr>
          <w:b/>
          <w:sz w:val="24"/>
        </w:rPr>
        <w:t xml:space="preserve">such director should not have been an employee </w:t>
      </w:r>
      <w:r>
        <w:rPr>
          <w:sz w:val="24"/>
        </w:rPr>
        <w:t>or proprietor or a partner of the said company, in any of the three financial years immediately preceding the financial year in which he is proposed to be appointed in the said</w:t>
      </w:r>
      <w:r>
        <w:rPr>
          <w:spacing w:val="-4"/>
          <w:sz w:val="24"/>
        </w:rPr>
        <w:t xml:space="preserve"> </w:t>
      </w:r>
      <w:r>
        <w:rPr>
          <w:sz w:val="24"/>
        </w:rPr>
        <w:t>company.</w:t>
      </w:r>
    </w:p>
    <w:p>
      <w:pPr>
        <w:pStyle w:val="14"/>
        <w:widowControl w:val="0"/>
        <w:numPr>
          <w:ilvl w:val="1"/>
          <w:numId w:val="2"/>
        </w:numPr>
        <w:tabs>
          <w:tab w:val="left" w:pos="821"/>
        </w:tabs>
        <w:autoSpaceDE w:val="0"/>
        <w:autoSpaceDN w:val="0"/>
        <w:spacing w:before="161" w:after="0" w:line="360" w:lineRule="auto"/>
        <w:ind w:right="116" w:firstLine="0"/>
        <w:contextualSpacing w:val="0"/>
        <w:jc w:val="both"/>
        <w:rPr>
          <w:sz w:val="24"/>
        </w:rPr>
      </w:pPr>
      <w:r>
        <w:rPr>
          <w:sz w:val="24"/>
        </w:rPr>
        <w:t xml:space="preserve">Therefore, in respect of such directors who are not the employees of the said company, the services provided by them to the Company, in lieu of remuneration as the consideration for the said services, are clearly outside the scope of Schedule III of the CGST Act and are therefore taxable. </w:t>
      </w:r>
      <w:r>
        <w:rPr>
          <w:spacing w:val="-3"/>
          <w:sz w:val="24"/>
        </w:rPr>
        <w:t xml:space="preserve">In </w:t>
      </w:r>
      <w:r>
        <w:rPr>
          <w:sz w:val="24"/>
        </w:rPr>
        <w:t>terms of entry at Sl. No. 6 of the Table annexed to notification No. 13/2017 – Central Tax (Rate) dated 28.06.2017, the recipient of the said services i.e. the Company, is liable to discharge the applicable GST on it on reverse charge basis.</w:t>
      </w:r>
    </w:p>
    <w:p>
      <w:pPr>
        <w:pStyle w:val="14"/>
        <w:widowControl w:val="0"/>
        <w:numPr>
          <w:ilvl w:val="1"/>
          <w:numId w:val="2"/>
        </w:numPr>
        <w:tabs>
          <w:tab w:val="left" w:pos="821"/>
        </w:tabs>
        <w:autoSpaceDE w:val="0"/>
        <w:autoSpaceDN w:val="0"/>
        <w:spacing w:before="160" w:after="0" w:line="360" w:lineRule="auto"/>
        <w:ind w:right="116" w:firstLine="0"/>
        <w:contextualSpacing w:val="0"/>
        <w:jc w:val="both"/>
        <w:rPr>
          <w:sz w:val="24"/>
        </w:rPr>
      </w:pPr>
      <w:r>
        <w:rPr>
          <w:sz w:val="24"/>
        </w:rPr>
        <w:t>Accordingly, it is hereby clarified that the remuneration paid to such independent directors, or those directors, by whatever name called, who are not employees of the said company, is taxable in hands of the company, on reverse charge</w:t>
      </w:r>
      <w:r>
        <w:rPr>
          <w:spacing w:val="-4"/>
          <w:sz w:val="24"/>
        </w:rPr>
        <w:t xml:space="preserve"> </w:t>
      </w:r>
      <w:r>
        <w:rPr>
          <w:sz w:val="24"/>
        </w:rPr>
        <w:t>basis.</w:t>
      </w:r>
    </w:p>
    <w:p>
      <w:pPr>
        <w:widowControl w:val="0"/>
        <w:tabs>
          <w:tab w:val="left" w:pos="821"/>
        </w:tabs>
        <w:autoSpaceDE w:val="0"/>
        <w:autoSpaceDN w:val="0"/>
        <w:spacing w:before="160" w:after="0" w:line="360" w:lineRule="auto"/>
        <w:ind w:right="116"/>
        <w:jc w:val="both"/>
        <w:rPr>
          <w:sz w:val="24"/>
        </w:rPr>
      </w:pPr>
    </w:p>
    <w:p>
      <w:pPr>
        <w:widowControl w:val="0"/>
        <w:tabs>
          <w:tab w:val="left" w:pos="821"/>
        </w:tabs>
        <w:autoSpaceDE w:val="0"/>
        <w:autoSpaceDN w:val="0"/>
        <w:spacing w:before="160" w:after="0" w:line="360" w:lineRule="auto"/>
        <w:ind w:right="116"/>
        <w:jc w:val="both"/>
        <w:rPr>
          <w:sz w:val="24"/>
        </w:rPr>
      </w:pPr>
    </w:p>
    <w:p>
      <w:pPr>
        <w:widowControl w:val="0"/>
        <w:tabs>
          <w:tab w:val="left" w:pos="821"/>
        </w:tabs>
        <w:autoSpaceDE w:val="0"/>
        <w:autoSpaceDN w:val="0"/>
        <w:spacing w:before="160" w:after="0" w:line="360" w:lineRule="auto"/>
        <w:ind w:right="116"/>
        <w:jc w:val="both"/>
        <w:rPr>
          <w:sz w:val="24"/>
        </w:rPr>
      </w:pPr>
    </w:p>
    <w:p>
      <w:pPr>
        <w:widowControl w:val="0"/>
        <w:tabs>
          <w:tab w:val="left" w:pos="821"/>
        </w:tabs>
        <w:autoSpaceDE w:val="0"/>
        <w:autoSpaceDN w:val="0"/>
        <w:spacing w:before="160" w:after="0" w:line="360" w:lineRule="auto"/>
        <w:ind w:right="116"/>
        <w:jc w:val="both"/>
        <w:rPr>
          <w:sz w:val="24"/>
        </w:rPr>
      </w:pPr>
    </w:p>
    <w:p>
      <w:pPr>
        <w:widowControl w:val="0"/>
        <w:tabs>
          <w:tab w:val="left" w:pos="821"/>
        </w:tabs>
        <w:autoSpaceDE w:val="0"/>
        <w:autoSpaceDN w:val="0"/>
        <w:spacing w:before="160" w:after="0" w:line="360" w:lineRule="auto"/>
        <w:ind w:right="116"/>
        <w:jc w:val="both"/>
        <w:rPr>
          <w:sz w:val="24"/>
        </w:rPr>
      </w:pPr>
    </w:p>
    <w:p>
      <w:pPr>
        <w:widowControl w:val="0"/>
        <w:tabs>
          <w:tab w:val="left" w:pos="821"/>
        </w:tabs>
        <w:autoSpaceDE w:val="0"/>
        <w:autoSpaceDN w:val="0"/>
        <w:spacing w:before="160" w:after="0" w:line="360" w:lineRule="auto"/>
        <w:ind w:right="116"/>
        <w:jc w:val="both"/>
        <w:rPr>
          <w:sz w:val="24"/>
        </w:rPr>
      </w:pPr>
    </w:p>
    <w:p>
      <w:pPr>
        <w:pStyle w:val="2"/>
        <w:spacing w:before="165" w:line="360" w:lineRule="auto"/>
        <w:ind w:right="120"/>
        <w:jc w:val="both"/>
        <w:rPr>
          <w:u w:val="none"/>
        </w:rPr>
      </w:pPr>
      <w:r>
        <w:rPr>
          <w:u w:val="thick"/>
        </w:rPr>
        <w:t>Leviability of GST on remuneration paid by companies to the directors, who are also an</w:t>
      </w:r>
      <w:r>
        <w:rPr>
          <w:u w:val="none"/>
        </w:rPr>
        <w:t xml:space="preserve"> </w:t>
      </w:r>
      <w:r>
        <w:rPr>
          <w:u w:val="thick"/>
        </w:rPr>
        <w:t>employee of the said company</w:t>
      </w:r>
    </w:p>
    <w:p>
      <w:pPr>
        <w:pStyle w:val="14"/>
        <w:widowControl w:val="0"/>
        <w:numPr>
          <w:ilvl w:val="1"/>
          <w:numId w:val="3"/>
        </w:numPr>
        <w:tabs>
          <w:tab w:val="left" w:pos="821"/>
        </w:tabs>
        <w:autoSpaceDE w:val="0"/>
        <w:autoSpaceDN w:val="0"/>
        <w:spacing w:after="0" w:line="360" w:lineRule="auto"/>
        <w:ind w:right="113" w:firstLine="0"/>
        <w:contextualSpacing w:val="0"/>
        <w:jc w:val="both"/>
        <w:rPr>
          <w:sz w:val="24"/>
        </w:rPr>
      </w:pPr>
      <w:r>
        <w:rPr>
          <w:sz w:val="24"/>
        </w:rPr>
        <w:t>Once, it has been ascertained whether a director, irrespective of name and  designation, is an employee, it would be pertinent to examine whether all the activities performed by the director are in the course of employer-employee relation (i.e. a “</w:t>
      </w:r>
      <w:r>
        <w:rPr>
          <w:i/>
          <w:sz w:val="24"/>
        </w:rPr>
        <w:t>contract of service”</w:t>
      </w:r>
      <w:r>
        <w:rPr>
          <w:sz w:val="24"/>
        </w:rPr>
        <w:t>) or is there any element of “</w:t>
      </w:r>
      <w:r>
        <w:rPr>
          <w:i/>
          <w:sz w:val="24"/>
        </w:rPr>
        <w:t xml:space="preserve">contract for service”. </w:t>
      </w:r>
      <w:r>
        <w:rPr>
          <w:sz w:val="24"/>
        </w:rPr>
        <w:t>The issue has been deliberated by various</w:t>
      </w:r>
      <w:r>
        <w:rPr>
          <w:spacing w:val="15"/>
          <w:sz w:val="24"/>
        </w:rPr>
        <w:t xml:space="preserve"> </w:t>
      </w:r>
      <w:r>
        <w:rPr>
          <w:sz w:val="24"/>
        </w:rPr>
        <w:t>courts</w:t>
      </w:r>
      <w:r>
        <w:rPr>
          <w:spacing w:val="15"/>
          <w:sz w:val="24"/>
        </w:rPr>
        <w:t xml:space="preserve"> </w:t>
      </w:r>
      <w:r>
        <w:rPr>
          <w:sz w:val="24"/>
        </w:rPr>
        <w:t>and</w:t>
      </w:r>
      <w:r>
        <w:rPr>
          <w:spacing w:val="15"/>
          <w:sz w:val="24"/>
        </w:rPr>
        <w:t xml:space="preserve"> </w:t>
      </w:r>
      <w:r>
        <w:rPr>
          <w:sz w:val="24"/>
        </w:rPr>
        <w:t>it</w:t>
      </w:r>
      <w:r>
        <w:rPr>
          <w:spacing w:val="17"/>
          <w:sz w:val="24"/>
        </w:rPr>
        <w:t xml:space="preserve"> </w:t>
      </w:r>
      <w:r>
        <w:rPr>
          <w:sz w:val="24"/>
        </w:rPr>
        <w:t>has</w:t>
      </w:r>
      <w:r>
        <w:rPr>
          <w:spacing w:val="17"/>
          <w:sz w:val="24"/>
        </w:rPr>
        <w:t xml:space="preserve"> </w:t>
      </w:r>
      <w:r>
        <w:rPr>
          <w:sz w:val="24"/>
        </w:rPr>
        <w:t>been</w:t>
      </w:r>
      <w:r>
        <w:rPr>
          <w:spacing w:val="15"/>
          <w:sz w:val="24"/>
        </w:rPr>
        <w:t xml:space="preserve"> </w:t>
      </w:r>
      <w:r>
        <w:rPr>
          <w:sz w:val="24"/>
        </w:rPr>
        <w:t>held</w:t>
      </w:r>
      <w:r>
        <w:rPr>
          <w:spacing w:val="16"/>
          <w:sz w:val="24"/>
        </w:rPr>
        <w:t xml:space="preserve"> </w:t>
      </w:r>
      <w:r>
        <w:rPr>
          <w:sz w:val="24"/>
        </w:rPr>
        <w:t>that</w:t>
      </w:r>
      <w:r>
        <w:rPr>
          <w:spacing w:val="20"/>
          <w:sz w:val="24"/>
        </w:rPr>
        <w:t xml:space="preserve"> </w:t>
      </w:r>
      <w:r>
        <w:rPr>
          <w:sz w:val="24"/>
        </w:rPr>
        <w:t>a</w:t>
      </w:r>
      <w:r>
        <w:rPr>
          <w:spacing w:val="15"/>
          <w:sz w:val="24"/>
        </w:rPr>
        <w:t xml:space="preserve"> </w:t>
      </w:r>
      <w:r>
        <w:rPr>
          <w:sz w:val="24"/>
        </w:rPr>
        <w:t>director</w:t>
      </w:r>
      <w:r>
        <w:rPr>
          <w:spacing w:val="15"/>
          <w:sz w:val="24"/>
        </w:rPr>
        <w:t xml:space="preserve"> </w:t>
      </w:r>
      <w:r>
        <w:rPr>
          <w:sz w:val="24"/>
        </w:rPr>
        <w:t>who</w:t>
      </w:r>
      <w:r>
        <w:rPr>
          <w:spacing w:val="15"/>
          <w:sz w:val="24"/>
        </w:rPr>
        <w:t xml:space="preserve"> </w:t>
      </w:r>
      <w:r>
        <w:rPr>
          <w:sz w:val="24"/>
        </w:rPr>
        <w:t>has</w:t>
      </w:r>
      <w:r>
        <w:rPr>
          <w:spacing w:val="15"/>
          <w:sz w:val="24"/>
        </w:rPr>
        <w:t xml:space="preserve"> </w:t>
      </w:r>
      <w:r>
        <w:rPr>
          <w:sz w:val="24"/>
        </w:rPr>
        <w:t>also</w:t>
      </w:r>
      <w:r>
        <w:rPr>
          <w:spacing w:val="17"/>
          <w:sz w:val="24"/>
        </w:rPr>
        <w:t xml:space="preserve"> </w:t>
      </w:r>
      <w:r>
        <w:rPr>
          <w:sz w:val="24"/>
        </w:rPr>
        <w:t>taken</w:t>
      </w:r>
      <w:r>
        <w:rPr>
          <w:spacing w:val="15"/>
          <w:sz w:val="24"/>
        </w:rPr>
        <w:t xml:space="preserve"> </w:t>
      </w:r>
      <w:r>
        <w:rPr>
          <w:sz w:val="24"/>
        </w:rPr>
        <w:t>an</w:t>
      </w:r>
      <w:r>
        <w:rPr>
          <w:spacing w:val="17"/>
          <w:sz w:val="24"/>
        </w:rPr>
        <w:t xml:space="preserve"> </w:t>
      </w:r>
      <w:r>
        <w:rPr>
          <w:sz w:val="24"/>
        </w:rPr>
        <w:t>employment</w:t>
      </w:r>
      <w:r>
        <w:rPr>
          <w:spacing w:val="15"/>
          <w:sz w:val="24"/>
        </w:rPr>
        <w:t xml:space="preserve"> </w:t>
      </w:r>
      <w:r>
        <w:rPr>
          <w:sz w:val="24"/>
        </w:rPr>
        <w:t>in</w:t>
      </w:r>
      <w:r>
        <w:rPr>
          <w:spacing w:val="17"/>
          <w:sz w:val="24"/>
        </w:rPr>
        <w:t xml:space="preserve"> </w:t>
      </w:r>
      <w:r>
        <w:rPr>
          <w:sz w:val="24"/>
        </w:rPr>
        <w:t xml:space="preserve">the </w:t>
      </w:r>
      <w:r>
        <w:t>company may be functioning in dual capacities, namely, one as a director of the company and the other on the basis of the contractual relationship of master and servant with the company,</w:t>
      </w:r>
    </w:p>
    <w:p>
      <w:pPr>
        <w:pStyle w:val="4"/>
        <w:ind w:left="100"/>
        <w:jc w:val="both"/>
      </w:pPr>
      <w:r>
        <w:t>i.e. under a contract of service (employment) entered into with the company.</w:t>
      </w:r>
    </w:p>
    <w:p>
      <w:pPr>
        <w:pStyle w:val="14"/>
        <w:widowControl w:val="0"/>
        <w:numPr>
          <w:ilvl w:val="1"/>
          <w:numId w:val="3"/>
        </w:numPr>
        <w:tabs>
          <w:tab w:val="left" w:pos="821"/>
        </w:tabs>
        <w:autoSpaceDE w:val="0"/>
        <w:autoSpaceDN w:val="0"/>
        <w:spacing w:before="136" w:after="0" w:line="360" w:lineRule="auto"/>
        <w:ind w:right="118" w:firstLine="0"/>
        <w:contextualSpacing w:val="0"/>
        <w:jc w:val="both"/>
        <w:rPr>
          <w:sz w:val="24"/>
        </w:rPr>
      </w:pPr>
      <w:r>
        <w:rPr>
          <w:sz w:val="24"/>
        </w:rPr>
        <w:t>It is also pertinent to note that similar identification (to that in Para 5.1 above) and treatment of the Director‟s remuneration is also present in the Income Tax Act, 1961 wherein the salaries paid to directors are subject to Tax Deducted at Source ('TDS') under Section 192 of the Income Tax Act, 1961 ('IT Act'). However, in cases where the remuneration is in the nature of professional fees and not salary, the same is liable for deduction under Section 194J of the IT</w:t>
      </w:r>
      <w:r>
        <w:rPr>
          <w:spacing w:val="-1"/>
          <w:sz w:val="24"/>
        </w:rPr>
        <w:t xml:space="preserve"> </w:t>
      </w:r>
      <w:r>
        <w:rPr>
          <w:sz w:val="24"/>
        </w:rPr>
        <w:t>Act.</w:t>
      </w:r>
    </w:p>
    <w:p>
      <w:pPr>
        <w:pStyle w:val="4"/>
        <w:spacing w:before="1" w:line="360" w:lineRule="auto"/>
        <w:ind w:left="100" w:right="115"/>
        <w:jc w:val="both"/>
      </w:pPr>
      <w:r>
        <w:t xml:space="preserve">5.3.   Accordingly, it is clarified that the part of Director’s remuneration which are declared as ‘Salaries’ in the books of a company and subjected to TDS under Section 192 of the IT Act, are not taxable being consideration for services by an employee to the employer in the course of or in relation </w:t>
      </w:r>
      <w:r>
        <w:rPr>
          <w:i/>
        </w:rPr>
        <w:t xml:space="preserve">to </w:t>
      </w:r>
      <w:r>
        <w:t>his employment in terms of Schedule III of the CGST Act,</w:t>
      </w:r>
      <w:r>
        <w:rPr>
          <w:spacing w:val="-6"/>
        </w:rPr>
        <w:t xml:space="preserve"> </w:t>
      </w:r>
      <w:r>
        <w:t>2017.</w:t>
      </w:r>
    </w:p>
    <w:p>
      <w:pPr>
        <w:pStyle w:val="4"/>
        <w:spacing w:line="360" w:lineRule="auto"/>
        <w:ind w:left="100" w:right="113"/>
        <w:jc w:val="both"/>
      </w:pPr>
      <w:r>
        <w:t xml:space="preserve">5.4 It is further clarified that the part of  employee  Director’s remuneration which is  declared separately other than „salaries‟ in the Company’s accounts and subjected to TDS under Section 194J of the IT Act as </w:t>
      </w:r>
      <w:r>
        <w:rPr>
          <w:i/>
        </w:rPr>
        <w:t xml:space="preserve">Fees for professional or Technical Services </w:t>
      </w:r>
      <w:r>
        <w:t>shall be treated as consideration for providing services which are outside the scope of Schedule III of the CGST Act, and is therefore, taxable. Further, in terms of notification No. 13/2017 – Central Tax (Rate) dated 28.06.2017, the recipient of the said services i.e. the Company, is liable to discharge the applicable GST on it on reverse charge</w:t>
      </w:r>
      <w:r>
        <w:rPr>
          <w:spacing w:val="-2"/>
        </w:rPr>
        <w:t xml:space="preserve"> </w:t>
      </w:r>
      <w:r>
        <w:t>basis.</w:t>
      </w:r>
    </w:p>
    <w:p>
      <w:pPr>
        <w:pStyle w:val="4"/>
        <w:spacing w:before="1"/>
        <w:rPr>
          <w:sz w:val="36"/>
        </w:rPr>
      </w:pPr>
    </w:p>
    <w:p>
      <w:pPr>
        <w:pStyle w:val="4"/>
        <w:spacing w:line="360" w:lineRule="auto"/>
        <w:ind w:left="100" w:right="119" w:firstLine="60"/>
        <w:jc w:val="both"/>
      </w:pPr>
      <w:r>
        <w:t>6    It is requested that suitable trade notices may be  issued  to publicize the contents of    this</w:t>
      </w:r>
      <w:r>
        <w:rPr>
          <w:spacing w:val="-1"/>
        </w:rPr>
        <w:t xml:space="preserve"> </w:t>
      </w:r>
      <w:r>
        <w:t>circular.</w:t>
      </w:r>
    </w:p>
    <w:p>
      <w:pPr>
        <w:pStyle w:val="4"/>
        <w:spacing w:before="2"/>
        <w:rPr>
          <w:sz w:val="36"/>
        </w:rPr>
      </w:pPr>
    </w:p>
    <w:p>
      <w:pPr>
        <w:pStyle w:val="4"/>
        <w:spacing w:line="360" w:lineRule="auto"/>
        <w:ind w:left="100" w:right="123"/>
        <w:jc w:val="both"/>
      </w:pPr>
      <w:r>
        <w:t>7.  Difficulty,  if  any, in the implementation of the above instructions may please be   brought to the notice of the Board. Hindi version would</w:t>
      </w:r>
      <w:r>
        <w:rPr>
          <w:spacing w:val="-3"/>
        </w:rPr>
        <w:t xml:space="preserve"> </w:t>
      </w:r>
      <w:r>
        <w:t>follow.</w:t>
      </w:r>
    </w:p>
    <w:p>
      <w:pPr>
        <w:pStyle w:val="4"/>
        <w:rPr>
          <w:sz w:val="26"/>
        </w:rPr>
      </w:pPr>
    </w:p>
    <w:p>
      <w:pPr>
        <w:pStyle w:val="4"/>
        <w:rPr>
          <w:sz w:val="26"/>
        </w:rPr>
      </w:pPr>
    </w:p>
    <w:p>
      <w:pPr>
        <w:pStyle w:val="4"/>
        <w:spacing w:before="228"/>
        <w:ind w:left="6799" w:right="116" w:firstLine="681"/>
        <w:jc w:val="right"/>
      </w:pPr>
      <w:r>
        <w:t>(Yogendra</w:t>
      </w:r>
      <w:r>
        <w:rPr>
          <w:spacing w:val="-7"/>
        </w:rPr>
        <w:t xml:space="preserve"> </w:t>
      </w:r>
      <w:r>
        <w:t>Garg)</w:t>
      </w:r>
      <w:r>
        <w:rPr>
          <w:w w:val="99"/>
        </w:rPr>
        <w:t xml:space="preserve"> </w:t>
      </w:r>
      <w:r>
        <w:t>Principal</w:t>
      </w:r>
      <w:r>
        <w:rPr>
          <w:spacing w:val="8"/>
        </w:rPr>
        <w:t xml:space="preserve"> </w:t>
      </w:r>
      <w:r>
        <w:rPr>
          <w:spacing w:val="-2"/>
        </w:rPr>
        <w:t>Commissioner</w:t>
      </w:r>
    </w:p>
    <w:p>
      <w:pPr>
        <w:pStyle w:val="4"/>
        <w:ind w:right="119"/>
        <w:jc w:val="right"/>
      </w:pPr>
      <w:r>
        <w:fldChar w:fldCharType="begin"/>
      </w:r>
      <w:r>
        <w:instrText xml:space="preserve"> HYPERLINK "mailto:y.garg@nic.in" \h </w:instrText>
      </w:r>
      <w:r>
        <w:fldChar w:fldCharType="separate"/>
      </w:r>
      <w:r>
        <w:rPr>
          <w:color w:val="0462C1"/>
          <w:spacing w:val="-1"/>
          <w:u w:val="single" w:color="0462C1"/>
        </w:rPr>
        <w:t>y.garg@nic.in</w:t>
      </w:r>
      <w:r>
        <w:rPr>
          <w:color w:val="0462C1"/>
          <w:spacing w:val="-1"/>
          <w:u w:val="single" w:color="0462C1"/>
        </w:rPr>
        <w:fldChar w:fldCharType="end"/>
      </w:r>
    </w:p>
    <w:p>
      <w:pPr>
        <w:jc w:val="both"/>
        <w:rPr>
          <w:sz w:val="24"/>
          <w:szCs w:val="24"/>
        </w:rPr>
      </w:pPr>
    </w:p>
    <w:sectPr>
      <w:headerReference r:id="rId5" w:type="first"/>
      <w:footerReference r:id="rId8" w:type="first"/>
      <w:headerReference r:id="rId3" w:type="default"/>
      <w:footerReference r:id="rId6" w:type="default"/>
      <w:headerReference r:id="rId4" w:type="even"/>
      <w:footerReference r:id="rId7" w:type="even"/>
      <w:pgSz w:w="11906" w:h="16838"/>
      <w:pgMar w:top="284" w:right="1440" w:bottom="142" w:left="1440" w:header="0" w:footer="0"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526E1"/>
    <w:multiLevelType w:val="multilevel"/>
    <w:tmpl w:val="1C4526E1"/>
    <w:lvl w:ilvl="0" w:tentative="0">
      <w:start w:val="5"/>
      <w:numFmt w:val="decimal"/>
      <w:lvlText w:val="%1"/>
      <w:lvlJc w:val="left"/>
      <w:pPr>
        <w:ind w:left="100" w:hanging="720"/>
      </w:pPr>
      <w:rPr>
        <w:rFonts w:hint="default"/>
        <w:lang w:val="en-US" w:eastAsia="en-US" w:bidi="en-US"/>
      </w:rPr>
    </w:lvl>
    <w:lvl w:ilvl="1" w:tentative="0">
      <w:start w:val="1"/>
      <w:numFmt w:val="decimal"/>
      <w:lvlText w:val="%1.%2"/>
      <w:lvlJc w:val="left"/>
      <w:pPr>
        <w:ind w:left="100" w:hanging="720"/>
      </w:pPr>
      <w:rPr>
        <w:rFonts w:hint="default" w:ascii="Times New Roman" w:hAnsi="Times New Roman" w:eastAsia="Times New Roman" w:cs="Times New Roman"/>
        <w:spacing w:val="-11"/>
        <w:w w:val="99"/>
        <w:sz w:val="24"/>
        <w:szCs w:val="24"/>
        <w:lang w:val="en-US" w:eastAsia="en-US" w:bidi="en-US"/>
      </w:rPr>
    </w:lvl>
    <w:lvl w:ilvl="2" w:tentative="0">
      <w:start w:val="0"/>
      <w:numFmt w:val="bullet"/>
      <w:lvlText w:val="•"/>
      <w:lvlJc w:val="left"/>
      <w:pPr>
        <w:ind w:left="1929" w:hanging="720"/>
      </w:pPr>
      <w:rPr>
        <w:rFonts w:hint="default"/>
        <w:lang w:val="en-US" w:eastAsia="en-US" w:bidi="en-US"/>
      </w:rPr>
    </w:lvl>
    <w:lvl w:ilvl="3" w:tentative="0">
      <w:start w:val="0"/>
      <w:numFmt w:val="bullet"/>
      <w:lvlText w:val="•"/>
      <w:lvlJc w:val="left"/>
      <w:pPr>
        <w:ind w:left="2843" w:hanging="720"/>
      </w:pPr>
      <w:rPr>
        <w:rFonts w:hint="default"/>
        <w:lang w:val="en-US" w:eastAsia="en-US" w:bidi="en-US"/>
      </w:rPr>
    </w:lvl>
    <w:lvl w:ilvl="4" w:tentative="0">
      <w:start w:val="0"/>
      <w:numFmt w:val="bullet"/>
      <w:lvlText w:val="•"/>
      <w:lvlJc w:val="left"/>
      <w:pPr>
        <w:ind w:left="3758" w:hanging="720"/>
      </w:pPr>
      <w:rPr>
        <w:rFonts w:hint="default"/>
        <w:lang w:val="en-US" w:eastAsia="en-US" w:bidi="en-US"/>
      </w:rPr>
    </w:lvl>
    <w:lvl w:ilvl="5" w:tentative="0">
      <w:start w:val="0"/>
      <w:numFmt w:val="bullet"/>
      <w:lvlText w:val="•"/>
      <w:lvlJc w:val="left"/>
      <w:pPr>
        <w:ind w:left="4673" w:hanging="720"/>
      </w:pPr>
      <w:rPr>
        <w:rFonts w:hint="default"/>
        <w:lang w:val="en-US" w:eastAsia="en-US" w:bidi="en-US"/>
      </w:rPr>
    </w:lvl>
    <w:lvl w:ilvl="6" w:tentative="0">
      <w:start w:val="0"/>
      <w:numFmt w:val="bullet"/>
      <w:lvlText w:val="•"/>
      <w:lvlJc w:val="left"/>
      <w:pPr>
        <w:ind w:left="5587" w:hanging="720"/>
      </w:pPr>
      <w:rPr>
        <w:rFonts w:hint="default"/>
        <w:lang w:val="en-US" w:eastAsia="en-US" w:bidi="en-US"/>
      </w:rPr>
    </w:lvl>
    <w:lvl w:ilvl="7" w:tentative="0">
      <w:start w:val="0"/>
      <w:numFmt w:val="bullet"/>
      <w:lvlText w:val="•"/>
      <w:lvlJc w:val="left"/>
      <w:pPr>
        <w:ind w:left="6502" w:hanging="720"/>
      </w:pPr>
      <w:rPr>
        <w:rFonts w:hint="default"/>
        <w:lang w:val="en-US" w:eastAsia="en-US" w:bidi="en-US"/>
      </w:rPr>
    </w:lvl>
    <w:lvl w:ilvl="8" w:tentative="0">
      <w:start w:val="0"/>
      <w:numFmt w:val="bullet"/>
      <w:lvlText w:val="•"/>
      <w:lvlJc w:val="left"/>
      <w:pPr>
        <w:ind w:left="7417" w:hanging="720"/>
      </w:pPr>
      <w:rPr>
        <w:rFonts w:hint="default"/>
        <w:lang w:val="en-US" w:eastAsia="en-US" w:bidi="en-US"/>
      </w:rPr>
    </w:lvl>
  </w:abstractNum>
  <w:abstractNum w:abstractNumId="1">
    <w:nsid w:val="3F6539F4"/>
    <w:multiLevelType w:val="multilevel"/>
    <w:tmpl w:val="3F6539F4"/>
    <w:lvl w:ilvl="0" w:tentative="0">
      <w:start w:val="4"/>
      <w:numFmt w:val="decimal"/>
      <w:lvlText w:val="%1"/>
      <w:lvlJc w:val="left"/>
      <w:pPr>
        <w:ind w:left="100" w:hanging="720"/>
      </w:pPr>
      <w:rPr>
        <w:rFonts w:hint="default"/>
        <w:lang w:val="en-US" w:eastAsia="en-US" w:bidi="en-US"/>
      </w:rPr>
    </w:lvl>
    <w:lvl w:ilvl="1" w:tentative="0">
      <w:start w:val="1"/>
      <w:numFmt w:val="decimal"/>
      <w:lvlText w:val="%1.%2"/>
      <w:lvlJc w:val="left"/>
      <w:pPr>
        <w:ind w:left="100" w:hanging="720"/>
      </w:pPr>
      <w:rPr>
        <w:rFonts w:hint="default" w:ascii="Times New Roman" w:hAnsi="Times New Roman" w:eastAsia="Times New Roman" w:cs="Times New Roman"/>
        <w:spacing w:val="-5"/>
        <w:w w:val="75"/>
        <w:sz w:val="24"/>
        <w:szCs w:val="24"/>
        <w:lang w:val="en-US" w:eastAsia="en-US" w:bidi="en-US"/>
      </w:rPr>
    </w:lvl>
    <w:lvl w:ilvl="2" w:tentative="0">
      <w:start w:val="1"/>
      <w:numFmt w:val="lowerLetter"/>
      <w:lvlText w:val="%3."/>
      <w:lvlJc w:val="left"/>
      <w:pPr>
        <w:ind w:left="1540" w:hanging="360"/>
      </w:pPr>
      <w:rPr>
        <w:rFonts w:hint="default" w:ascii="Times New Roman" w:hAnsi="Times New Roman" w:eastAsia="Times New Roman" w:cs="Times New Roman"/>
        <w:spacing w:val="-5"/>
        <w:w w:val="99"/>
        <w:sz w:val="24"/>
        <w:szCs w:val="24"/>
        <w:lang w:val="en-US" w:eastAsia="en-US" w:bidi="en-US"/>
      </w:rPr>
    </w:lvl>
    <w:lvl w:ilvl="3" w:tentative="0">
      <w:start w:val="0"/>
      <w:numFmt w:val="bullet"/>
      <w:lvlText w:val="•"/>
      <w:lvlJc w:val="left"/>
      <w:pPr>
        <w:ind w:left="3252" w:hanging="360"/>
      </w:pPr>
      <w:rPr>
        <w:rFonts w:hint="default"/>
        <w:lang w:val="en-US" w:eastAsia="en-US" w:bidi="en-US"/>
      </w:rPr>
    </w:lvl>
    <w:lvl w:ilvl="4" w:tentative="0">
      <w:start w:val="0"/>
      <w:numFmt w:val="bullet"/>
      <w:lvlText w:val="•"/>
      <w:lvlJc w:val="left"/>
      <w:pPr>
        <w:ind w:left="4108" w:hanging="360"/>
      </w:pPr>
      <w:rPr>
        <w:rFonts w:hint="default"/>
        <w:lang w:val="en-US" w:eastAsia="en-US" w:bidi="en-US"/>
      </w:rPr>
    </w:lvl>
    <w:lvl w:ilvl="5" w:tentative="0">
      <w:start w:val="0"/>
      <w:numFmt w:val="bullet"/>
      <w:lvlText w:val="•"/>
      <w:lvlJc w:val="left"/>
      <w:pPr>
        <w:ind w:left="4965" w:hanging="360"/>
      </w:pPr>
      <w:rPr>
        <w:rFonts w:hint="default"/>
        <w:lang w:val="en-US" w:eastAsia="en-US" w:bidi="en-US"/>
      </w:rPr>
    </w:lvl>
    <w:lvl w:ilvl="6" w:tentative="0">
      <w:start w:val="0"/>
      <w:numFmt w:val="bullet"/>
      <w:lvlText w:val="•"/>
      <w:lvlJc w:val="left"/>
      <w:pPr>
        <w:ind w:left="5821" w:hanging="360"/>
      </w:pPr>
      <w:rPr>
        <w:rFonts w:hint="default"/>
        <w:lang w:val="en-US" w:eastAsia="en-US" w:bidi="en-US"/>
      </w:rPr>
    </w:lvl>
    <w:lvl w:ilvl="7" w:tentative="0">
      <w:start w:val="0"/>
      <w:numFmt w:val="bullet"/>
      <w:lvlText w:val="•"/>
      <w:lvlJc w:val="left"/>
      <w:pPr>
        <w:ind w:left="6677" w:hanging="360"/>
      </w:pPr>
      <w:rPr>
        <w:rFonts w:hint="default"/>
        <w:lang w:val="en-US" w:eastAsia="en-US" w:bidi="en-US"/>
      </w:rPr>
    </w:lvl>
    <w:lvl w:ilvl="8" w:tentative="0">
      <w:start w:val="0"/>
      <w:numFmt w:val="bullet"/>
      <w:lvlText w:val="•"/>
      <w:lvlJc w:val="left"/>
      <w:pPr>
        <w:ind w:left="7533" w:hanging="360"/>
      </w:pPr>
      <w:rPr>
        <w:rFonts w:hint="default"/>
        <w:lang w:val="en-US" w:eastAsia="en-US" w:bidi="en-US"/>
      </w:rPr>
    </w:lvl>
  </w:abstractNum>
  <w:abstractNum w:abstractNumId="2">
    <w:nsid w:val="530F3076"/>
    <w:multiLevelType w:val="multilevel"/>
    <w:tmpl w:val="530F3076"/>
    <w:lvl w:ilvl="0" w:tentative="0">
      <w:start w:val="2"/>
      <w:numFmt w:val="decimal"/>
      <w:lvlText w:val="%1."/>
      <w:lvlJc w:val="left"/>
      <w:pPr>
        <w:ind w:left="100" w:hanging="720"/>
      </w:pPr>
      <w:rPr>
        <w:rFonts w:hint="default" w:ascii="Times New Roman" w:hAnsi="Times New Roman" w:eastAsia="Times New Roman" w:cs="Times New Roman"/>
        <w:spacing w:val="-3"/>
        <w:w w:val="99"/>
        <w:sz w:val="24"/>
        <w:szCs w:val="24"/>
        <w:lang w:val="en-US" w:eastAsia="en-US" w:bidi="en-US"/>
      </w:rPr>
    </w:lvl>
    <w:lvl w:ilvl="1" w:tentative="0">
      <w:start w:val="1"/>
      <w:numFmt w:val="lowerRoman"/>
      <w:lvlText w:val="(%2)"/>
      <w:lvlJc w:val="left"/>
      <w:pPr>
        <w:ind w:left="1540" w:hanging="360"/>
      </w:pPr>
      <w:rPr>
        <w:rFonts w:hint="default" w:ascii="Times New Roman" w:hAnsi="Times New Roman" w:eastAsia="Times New Roman" w:cs="Times New Roman"/>
        <w:spacing w:val="-28"/>
        <w:w w:val="99"/>
        <w:sz w:val="24"/>
        <w:szCs w:val="24"/>
        <w:lang w:val="en-US" w:eastAsia="en-US" w:bidi="en-US"/>
      </w:rPr>
    </w:lvl>
    <w:lvl w:ilvl="2" w:tentative="0">
      <w:start w:val="0"/>
      <w:numFmt w:val="bullet"/>
      <w:lvlText w:val="•"/>
      <w:lvlJc w:val="left"/>
      <w:pPr>
        <w:ind w:left="2396" w:hanging="360"/>
      </w:pPr>
      <w:rPr>
        <w:rFonts w:hint="default"/>
        <w:lang w:val="en-US" w:eastAsia="en-US" w:bidi="en-US"/>
      </w:rPr>
    </w:lvl>
    <w:lvl w:ilvl="3" w:tentative="0">
      <w:start w:val="0"/>
      <w:numFmt w:val="bullet"/>
      <w:lvlText w:val="•"/>
      <w:lvlJc w:val="left"/>
      <w:pPr>
        <w:ind w:left="3252" w:hanging="360"/>
      </w:pPr>
      <w:rPr>
        <w:rFonts w:hint="default"/>
        <w:lang w:val="en-US" w:eastAsia="en-US" w:bidi="en-US"/>
      </w:rPr>
    </w:lvl>
    <w:lvl w:ilvl="4" w:tentative="0">
      <w:start w:val="0"/>
      <w:numFmt w:val="bullet"/>
      <w:lvlText w:val="•"/>
      <w:lvlJc w:val="left"/>
      <w:pPr>
        <w:ind w:left="4108" w:hanging="360"/>
      </w:pPr>
      <w:rPr>
        <w:rFonts w:hint="default"/>
        <w:lang w:val="en-US" w:eastAsia="en-US" w:bidi="en-US"/>
      </w:rPr>
    </w:lvl>
    <w:lvl w:ilvl="5" w:tentative="0">
      <w:start w:val="0"/>
      <w:numFmt w:val="bullet"/>
      <w:lvlText w:val="•"/>
      <w:lvlJc w:val="left"/>
      <w:pPr>
        <w:ind w:left="4965" w:hanging="360"/>
      </w:pPr>
      <w:rPr>
        <w:rFonts w:hint="default"/>
        <w:lang w:val="en-US" w:eastAsia="en-US" w:bidi="en-US"/>
      </w:rPr>
    </w:lvl>
    <w:lvl w:ilvl="6" w:tentative="0">
      <w:start w:val="0"/>
      <w:numFmt w:val="bullet"/>
      <w:lvlText w:val="•"/>
      <w:lvlJc w:val="left"/>
      <w:pPr>
        <w:ind w:left="5821" w:hanging="360"/>
      </w:pPr>
      <w:rPr>
        <w:rFonts w:hint="default"/>
        <w:lang w:val="en-US" w:eastAsia="en-US" w:bidi="en-US"/>
      </w:rPr>
    </w:lvl>
    <w:lvl w:ilvl="7" w:tentative="0">
      <w:start w:val="0"/>
      <w:numFmt w:val="bullet"/>
      <w:lvlText w:val="•"/>
      <w:lvlJc w:val="left"/>
      <w:pPr>
        <w:ind w:left="6677" w:hanging="360"/>
      </w:pPr>
      <w:rPr>
        <w:rFonts w:hint="default"/>
        <w:lang w:val="en-US" w:eastAsia="en-US" w:bidi="en-US"/>
      </w:rPr>
    </w:lvl>
    <w:lvl w:ilvl="8" w:tentative="0">
      <w:start w:val="0"/>
      <w:numFmt w:val="bullet"/>
      <w:lvlText w:val="•"/>
      <w:lvlJc w:val="left"/>
      <w:pPr>
        <w:ind w:left="7533" w:hanging="360"/>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compatSetting w:name="compatibilityMode" w:uri="http://schemas.microsoft.com/office/word" w:val="12"/>
  </w:compat>
  <w:rsids>
    <w:rsidRoot w:val="00EA2FC4"/>
    <w:rsid w:val="00036DD4"/>
    <w:rsid w:val="00055573"/>
    <w:rsid w:val="000E7673"/>
    <w:rsid w:val="00103050"/>
    <w:rsid w:val="00103F58"/>
    <w:rsid w:val="00127893"/>
    <w:rsid w:val="0013265E"/>
    <w:rsid w:val="00134BA8"/>
    <w:rsid w:val="00150882"/>
    <w:rsid w:val="00182083"/>
    <w:rsid w:val="001B279A"/>
    <w:rsid w:val="001C6903"/>
    <w:rsid w:val="001F5C68"/>
    <w:rsid w:val="00215B86"/>
    <w:rsid w:val="002661F0"/>
    <w:rsid w:val="002662A4"/>
    <w:rsid w:val="00273BDD"/>
    <w:rsid w:val="00290C79"/>
    <w:rsid w:val="002D6AD9"/>
    <w:rsid w:val="002F364B"/>
    <w:rsid w:val="003247A0"/>
    <w:rsid w:val="00354655"/>
    <w:rsid w:val="0036502B"/>
    <w:rsid w:val="003828D8"/>
    <w:rsid w:val="00384908"/>
    <w:rsid w:val="003B6D9F"/>
    <w:rsid w:val="003E5155"/>
    <w:rsid w:val="00421E3C"/>
    <w:rsid w:val="004223A5"/>
    <w:rsid w:val="0043474D"/>
    <w:rsid w:val="00446F32"/>
    <w:rsid w:val="0045516A"/>
    <w:rsid w:val="00492EBB"/>
    <w:rsid w:val="004A07EE"/>
    <w:rsid w:val="004A0AAF"/>
    <w:rsid w:val="004A14F2"/>
    <w:rsid w:val="004A4D17"/>
    <w:rsid w:val="004E250D"/>
    <w:rsid w:val="00532469"/>
    <w:rsid w:val="0057137E"/>
    <w:rsid w:val="00577EF1"/>
    <w:rsid w:val="005836A3"/>
    <w:rsid w:val="0062293C"/>
    <w:rsid w:val="0063268C"/>
    <w:rsid w:val="00646E93"/>
    <w:rsid w:val="006908C6"/>
    <w:rsid w:val="006B4DBA"/>
    <w:rsid w:val="006B7AF9"/>
    <w:rsid w:val="006C0B23"/>
    <w:rsid w:val="006D1FFF"/>
    <w:rsid w:val="006D2F54"/>
    <w:rsid w:val="006D4706"/>
    <w:rsid w:val="006D5C3E"/>
    <w:rsid w:val="007705B1"/>
    <w:rsid w:val="0079290F"/>
    <w:rsid w:val="00793B6C"/>
    <w:rsid w:val="007A388B"/>
    <w:rsid w:val="007B2538"/>
    <w:rsid w:val="007B38C3"/>
    <w:rsid w:val="007E1866"/>
    <w:rsid w:val="0088450D"/>
    <w:rsid w:val="00887B20"/>
    <w:rsid w:val="008935DB"/>
    <w:rsid w:val="008B3970"/>
    <w:rsid w:val="00920FDE"/>
    <w:rsid w:val="00946832"/>
    <w:rsid w:val="009709DD"/>
    <w:rsid w:val="0097480F"/>
    <w:rsid w:val="009A326F"/>
    <w:rsid w:val="009D12A6"/>
    <w:rsid w:val="009D5AA4"/>
    <w:rsid w:val="009E4A6D"/>
    <w:rsid w:val="00AA392F"/>
    <w:rsid w:val="00AD62E7"/>
    <w:rsid w:val="00B12039"/>
    <w:rsid w:val="00B3784C"/>
    <w:rsid w:val="00B557B8"/>
    <w:rsid w:val="00B82194"/>
    <w:rsid w:val="00B82BAD"/>
    <w:rsid w:val="00B92655"/>
    <w:rsid w:val="00B93F3D"/>
    <w:rsid w:val="00C23202"/>
    <w:rsid w:val="00C4256D"/>
    <w:rsid w:val="00C57A05"/>
    <w:rsid w:val="00C86310"/>
    <w:rsid w:val="00CA254E"/>
    <w:rsid w:val="00CA5F2D"/>
    <w:rsid w:val="00CD6F85"/>
    <w:rsid w:val="00CF45D4"/>
    <w:rsid w:val="00D242A7"/>
    <w:rsid w:val="00D9575B"/>
    <w:rsid w:val="00E205AF"/>
    <w:rsid w:val="00E60456"/>
    <w:rsid w:val="00EA0C87"/>
    <w:rsid w:val="00EA2FC4"/>
    <w:rsid w:val="00EF1D83"/>
    <w:rsid w:val="00F2621E"/>
    <w:rsid w:val="00F31E12"/>
    <w:rsid w:val="00F519D3"/>
    <w:rsid w:val="00F64043"/>
    <w:rsid w:val="00F703C1"/>
    <w:rsid w:val="00F86CA9"/>
    <w:rsid w:val="04474A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IN" w:eastAsia="en-US" w:bidi="ar-SA"/>
    </w:rPr>
  </w:style>
  <w:style w:type="paragraph" w:styleId="2">
    <w:name w:val="heading 1"/>
    <w:basedOn w:val="1"/>
    <w:next w:val="1"/>
    <w:link w:val="17"/>
    <w:qFormat/>
    <w:uiPriority w:val="1"/>
    <w:pPr>
      <w:widowControl w:val="0"/>
      <w:autoSpaceDE w:val="0"/>
      <w:autoSpaceDN w:val="0"/>
      <w:spacing w:before="1" w:after="0" w:line="240" w:lineRule="auto"/>
      <w:ind w:left="100"/>
      <w:jc w:val="center"/>
      <w:outlineLvl w:val="0"/>
    </w:pPr>
    <w:rPr>
      <w:rFonts w:ascii="Times New Roman" w:hAnsi="Times New Roman" w:eastAsia="Times New Roman" w:cs="Times New Roman"/>
      <w:b/>
      <w:bCs/>
      <w:sz w:val="24"/>
      <w:szCs w:val="24"/>
      <w:u w:val="single" w:color="000000"/>
      <w:lang w:val="en-US" w:bidi="en-US"/>
    </w:rPr>
  </w:style>
  <w:style w:type="character" w:default="1" w:styleId="8">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9"/>
    <w:semiHidden/>
    <w:unhideWhenUsed/>
    <w:uiPriority w:val="99"/>
    <w:pPr>
      <w:spacing w:after="0" w:line="240" w:lineRule="auto"/>
    </w:pPr>
    <w:rPr>
      <w:rFonts w:ascii="Tahoma" w:hAnsi="Tahoma" w:cs="Tahoma"/>
      <w:sz w:val="16"/>
      <w:szCs w:val="16"/>
    </w:rPr>
  </w:style>
  <w:style w:type="paragraph" w:styleId="4">
    <w:name w:val="Body Text"/>
    <w:basedOn w:val="1"/>
    <w:link w:val="18"/>
    <w:qFormat/>
    <w:uiPriority w:val="1"/>
    <w:pPr>
      <w:widowControl w:val="0"/>
      <w:autoSpaceDE w:val="0"/>
      <w:autoSpaceDN w:val="0"/>
      <w:spacing w:after="0" w:line="240" w:lineRule="auto"/>
    </w:pPr>
    <w:rPr>
      <w:rFonts w:ascii="Times New Roman" w:hAnsi="Times New Roman" w:eastAsia="Times New Roman" w:cs="Times New Roman"/>
      <w:sz w:val="24"/>
      <w:szCs w:val="24"/>
      <w:lang w:val="en-US" w:bidi="en-US"/>
    </w:rPr>
  </w:style>
  <w:style w:type="paragraph" w:styleId="5">
    <w:name w:val="footer"/>
    <w:basedOn w:val="1"/>
    <w:link w:val="13"/>
    <w:unhideWhenUsed/>
    <w:uiPriority w:val="99"/>
    <w:pPr>
      <w:tabs>
        <w:tab w:val="center" w:pos="4513"/>
        <w:tab w:val="right" w:pos="9026"/>
      </w:tabs>
      <w:spacing w:after="0" w:line="240" w:lineRule="auto"/>
    </w:pPr>
  </w:style>
  <w:style w:type="paragraph" w:styleId="6">
    <w:name w:val="header"/>
    <w:basedOn w:val="1"/>
    <w:link w:val="12"/>
    <w:unhideWhenUsed/>
    <w:uiPriority w:val="99"/>
    <w:pPr>
      <w:tabs>
        <w:tab w:val="center" w:pos="4513"/>
        <w:tab w:val="right" w:pos="9026"/>
      </w:tabs>
      <w:spacing w:after="0" w:line="240" w:lineRule="auto"/>
    </w:pPr>
  </w:style>
  <w:style w:type="paragraph" w:styleId="7">
    <w:name w:val="Title"/>
    <w:basedOn w:val="1"/>
    <w:next w:val="1"/>
    <w:link w:val="15"/>
    <w:qFormat/>
    <w:uiPriority w:val="10"/>
    <w:pPr>
      <w:pBdr>
        <w:bottom w:val="single" w:color="4F81BD" w:sz="8" w:space="4"/>
      </w:pBdr>
      <w:spacing w:after="300" w:line="240" w:lineRule="auto"/>
      <w:contextualSpacing/>
    </w:pPr>
    <w:rPr>
      <w:rFonts w:ascii="Cambria" w:hAnsi="Cambria" w:eastAsia="Times New Roman" w:cs="Times New Roman"/>
      <w:color w:val="17365D"/>
      <w:spacing w:val="5"/>
      <w:kern w:val="28"/>
      <w:sz w:val="52"/>
      <w:szCs w:val="52"/>
    </w:rPr>
  </w:style>
  <w:style w:type="character" w:styleId="9">
    <w:name w:val="Hyperlink"/>
    <w:basedOn w:val="8"/>
    <w:unhideWhenUsed/>
    <w:uiPriority w:val="99"/>
    <w:rPr>
      <w:color w:val="0000FF" w:themeColor="hyperlink"/>
      <w:u w:val="single"/>
    </w:rPr>
  </w:style>
  <w:style w:type="table" w:styleId="11">
    <w:name w:val="Table Grid"/>
    <w:basedOn w:val="10"/>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Header Char"/>
    <w:basedOn w:val="8"/>
    <w:link w:val="6"/>
    <w:uiPriority w:val="99"/>
  </w:style>
  <w:style w:type="character" w:customStyle="1" w:styleId="13">
    <w:name w:val="Footer Char"/>
    <w:basedOn w:val="8"/>
    <w:link w:val="5"/>
    <w:uiPriority w:val="99"/>
  </w:style>
  <w:style w:type="paragraph" w:styleId="14">
    <w:name w:val="List Paragraph"/>
    <w:basedOn w:val="1"/>
    <w:qFormat/>
    <w:uiPriority w:val="1"/>
    <w:pPr>
      <w:ind w:left="720"/>
      <w:contextualSpacing/>
    </w:pPr>
  </w:style>
  <w:style w:type="character" w:customStyle="1" w:styleId="15">
    <w:name w:val="Title Char"/>
    <w:basedOn w:val="8"/>
    <w:link w:val="7"/>
    <w:uiPriority w:val="10"/>
    <w:rPr>
      <w:rFonts w:ascii="Cambria" w:hAnsi="Cambria" w:eastAsia="Times New Roman" w:cs="Times New Roman"/>
      <w:color w:val="17365D"/>
      <w:spacing w:val="5"/>
      <w:kern w:val="28"/>
      <w:sz w:val="52"/>
      <w:szCs w:val="52"/>
    </w:rPr>
  </w:style>
  <w:style w:type="paragraph" w:styleId="16">
    <w:name w:val="No Spacing"/>
    <w:qFormat/>
    <w:uiPriority w:val="1"/>
    <w:pPr>
      <w:spacing w:after="0" w:line="240" w:lineRule="auto"/>
    </w:pPr>
    <w:rPr>
      <w:rFonts w:ascii="Calibri" w:hAnsi="Calibri" w:eastAsia="Times New Roman" w:cs="Times New Roman"/>
      <w:sz w:val="22"/>
      <w:szCs w:val="22"/>
      <w:lang w:val="en-US" w:eastAsia="en-US" w:bidi="ar-SA"/>
    </w:rPr>
  </w:style>
  <w:style w:type="character" w:customStyle="1" w:styleId="17">
    <w:name w:val="Heading 1 Char"/>
    <w:basedOn w:val="8"/>
    <w:link w:val="2"/>
    <w:uiPriority w:val="1"/>
    <w:rPr>
      <w:rFonts w:ascii="Times New Roman" w:hAnsi="Times New Roman" w:eastAsia="Times New Roman" w:cs="Times New Roman"/>
      <w:b/>
      <w:bCs/>
      <w:sz w:val="24"/>
      <w:szCs w:val="24"/>
      <w:u w:val="single" w:color="000000"/>
      <w:lang w:val="en-US" w:bidi="en-US"/>
    </w:rPr>
  </w:style>
  <w:style w:type="character" w:customStyle="1" w:styleId="18">
    <w:name w:val="Body Text Char"/>
    <w:basedOn w:val="8"/>
    <w:link w:val="4"/>
    <w:uiPriority w:val="1"/>
    <w:rPr>
      <w:rFonts w:ascii="Times New Roman" w:hAnsi="Times New Roman" w:eastAsia="Times New Roman" w:cs="Times New Roman"/>
      <w:sz w:val="24"/>
      <w:szCs w:val="24"/>
      <w:lang w:val="en-US" w:bidi="en-US"/>
    </w:rPr>
  </w:style>
  <w:style w:type="character" w:customStyle="1" w:styleId="19">
    <w:name w:val="Balloon Text Char"/>
    <w:basedOn w:val="8"/>
    <w:link w:val="3"/>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5</Pages>
  <Words>1393</Words>
  <Characters>7945</Characters>
  <Lines>66</Lines>
  <Paragraphs>18</Paragraphs>
  <TotalTime>775</TotalTime>
  <ScaleCrop>false</ScaleCrop>
  <LinksUpToDate>false</LinksUpToDate>
  <CharactersWithSpaces>9320</CharactersWithSpaces>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2020-04-04T09:58:00Z</dcterms:created>
  <dc:creator>siddhant manot</dc:creator>
  <cp:lastModifiedBy>Subhendu Pan</cp:lastModifiedBy>
  <dcterms:modified xsi:type="dcterms:W3CDTF">2020-06-23T08:40:31Z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